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18C72049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D24C23" w:rsidRPr="00D24C23">
        <w:rPr>
          <w:rFonts w:ascii="Verdana" w:hAnsi="Verdana"/>
          <w:sz w:val="18"/>
          <w:szCs w:val="18"/>
        </w:rPr>
        <w:t>„Běžná a havarijní údržba objektů ve správě OŘ Plzeň 2024-2026“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168FE3F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33760" w:rsidRPr="0083376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60258428">
    <w:abstractNumId w:val="5"/>
  </w:num>
  <w:num w:numId="2" w16cid:durableId="1062100126">
    <w:abstractNumId w:val="1"/>
  </w:num>
  <w:num w:numId="3" w16cid:durableId="72050853">
    <w:abstractNumId w:val="2"/>
  </w:num>
  <w:num w:numId="4" w16cid:durableId="1322463508">
    <w:abstractNumId w:val="4"/>
  </w:num>
  <w:num w:numId="5" w16cid:durableId="1411270083">
    <w:abstractNumId w:val="0"/>
  </w:num>
  <w:num w:numId="6" w16cid:durableId="1030186357">
    <w:abstractNumId w:val="6"/>
  </w:num>
  <w:num w:numId="7" w16cid:durableId="14101571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760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4C23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2018-11-26T13:17:00Z</dcterms:created>
  <dcterms:modified xsi:type="dcterms:W3CDTF">2023-11-21T11:52:00Z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